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49B79651" w14:paraId="30920A1D" w14:textId="77777777">
        <w:trPr>
          <w:trHeight w:val="3428"/>
        </w:trPr>
        <w:tc>
          <w:tcPr>
            <w:tcW w:w="2684" w:type="dxa"/>
            <w:shd w:val="clear" w:color="auto" w:fill="FFEFFF"/>
            <w:tcMar/>
          </w:tcPr>
          <w:p w:rsidRPr="00F9765D" w:rsidR="008E39B4" w:rsidP="006A3C2A" w:rsidRDefault="008E39B4" w14:paraId="78D908C9" w14:textId="77777777">
            <w:pPr>
              <w:jc w:val="center"/>
              <w:rPr>
                <w:rFonts w:cstheme="minorHAnsi"/>
                <w:b/>
                <w:bCs/>
                <w:color w:val="522A5B"/>
                <w:sz w:val="24"/>
                <w:szCs w:val="24"/>
                <w:u w:val="single"/>
              </w:rPr>
            </w:pPr>
            <w:r w:rsidRPr="5FC8CA99">
              <w:rPr>
                <w:b/>
                <w:bCs/>
                <w:color w:val="522A5B"/>
                <w:sz w:val="24"/>
                <w:szCs w:val="24"/>
                <w:u w:val="single"/>
              </w:rPr>
              <w:t>What will we be learning?</w:t>
            </w:r>
          </w:p>
          <w:p w:rsidR="5FC8CA99" w:rsidP="5FC8CA99" w:rsidRDefault="5FC8CA99" w14:paraId="0B9902C7" w14:textId="05367A6C">
            <w:pPr>
              <w:rPr>
                <w:color w:val="000000" w:themeColor="text1"/>
              </w:rPr>
            </w:pPr>
          </w:p>
          <w:p w:rsidR="46D455A2" w:rsidP="46D455A2" w:rsidRDefault="46D455A2" w14:paraId="1FEC2EB5" w14:textId="1388F186">
            <w:pPr>
              <w:pStyle w:val="Normal"/>
              <w:bidi w:val="0"/>
              <w:spacing w:before="0" w:beforeAutospacing="off" w:after="0" w:afterAutospacing="off" w:line="259" w:lineRule="auto"/>
              <w:ind w:left="0" w:right="0"/>
              <w:jc w:val="left"/>
              <w:rPr>
                <w:color w:val="000000" w:themeColor="text1" w:themeTint="FF" w:themeShade="FF"/>
              </w:rPr>
            </w:pPr>
            <w:r w:rsidRPr="46D455A2" w:rsidR="46D455A2">
              <w:rPr>
                <w:color w:val="000000" w:themeColor="text1" w:themeTint="FF" w:themeShade="FF"/>
              </w:rPr>
              <w:t>In what ways did the symphony evolve from 1750 to 1900? And why?</w:t>
            </w:r>
          </w:p>
          <w:p w:rsidR="5FC8CA99" w:rsidP="5FC8CA99" w:rsidRDefault="5FC8CA99" w14:paraId="18216283" w14:textId="578DCE55">
            <w:pPr>
              <w:rPr>
                <w:color w:val="000000" w:themeColor="text1"/>
              </w:rPr>
            </w:pPr>
          </w:p>
          <w:p w:rsidRPr="004A45C2" w:rsidR="008E39B4" w:rsidP="49B79651" w:rsidRDefault="005A4B4B" w14:paraId="757809B9" w14:textId="144555DF">
            <w:pPr>
              <w:jc w:val="center"/>
              <w:rPr>
                <w:color w:val="000000" w:themeColor="text1"/>
              </w:rPr>
            </w:pPr>
            <w:r w:rsidRPr="49B79651" w:rsidR="005A4B4B">
              <w:rPr>
                <w:b w:val="1"/>
                <w:bCs w:val="1"/>
                <w:color w:val="000000" w:themeColor="text1" w:themeTint="FF" w:themeShade="FF"/>
              </w:rPr>
              <w:t>Area of study A: The Western Classical Tradition and The Development of the Symphony (1750-1900)</w:t>
            </w:r>
            <w:r w:rsidRPr="49B79651" w:rsidR="005A4B4B">
              <w:rPr>
                <w:color w:val="000000" w:themeColor="text1" w:themeTint="FF" w:themeShade="FF"/>
              </w:rPr>
              <w:t xml:space="preserve"> which includes two set work</w:t>
            </w:r>
            <w:r w:rsidRPr="49B79651" w:rsidR="004A45C2">
              <w:rPr>
                <w:color w:val="000000" w:themeColor="text1" w:themeTint="FF" w:themeShade="FF"/>
              </w:rPr>
              <w:t>s (</w:t>
            </w:r>
            <w:r w:rsidRPr="49B79651" w:rsidR="005A4B4B">
              <w:rPr>
                <w:color w:val="000000" w:themeColor="text1" w:themeTint="FF" w:themeShade="FF"/>
              </w:rPr>
              <w:t>Symphony No. 104 in D major, ‘London’: Haydn</w:t>
            </w:r>
            <w:r w:rsidRPr="49B79651" w:rsidR="004A45C2">
              <w:rPr>
                <w:color w:val="000000" w:themeColor="text1" w:themeTint="FF" w:themeShade="FF"/>
              </w:rPr>
              <w:t xml:space="preserve"> and </w:t>
            </w:r>
            <w:r w:rsidRPr="49B79651" w:rsidR="005A4B4B">
              <w:rPr>
                <w:color w:val="000000" w:themeColor="text1" w:themeTint="FF" w:themeShade="FF"/>
              </w:rPr>
              <w:t>Symphony No. 4 in A major, ‘Italian’: Mendelssohn</w:t>
            </w:r>
            <w:r w:rsidRPr="49B79651" w:rsidR="004A45C2">
              <w:rPr>
                <w:color w:val="000000" w:themeColor="text1" w:themeTint="FF" w:themeShade="FF"/>
              </w:rPr>
              <w:t>).</w:t>
            </w:r>
          </w:p>
        </w:tc>
        <w:tc>
          <w:tcPr>
            <w:tcW w:w="5386" w:type="dxa"/>
            <w:shd w:val="clear" w:color="auto" w:fill="FFEFFF"/>
            <w:tcMar/>
          </w:tcPr>
          <w:p w:rsidRPr="00F9765D" w:rsidR="008E39B4" w:rsidP="002B6733" w:rsidRDefault="008E39B4" w14:paraId="191A053B" w14:textId="77777777">
            <w:pPr>
              <w:rPr>
                <w:rFonts w:cstheme="minorHAnsi"/>
                <w:b/>
                <w:bCs/>
                <w:color w:val="522A5B"/>
                <w:sz w:val="24"/>
                <w:szCs w:val="24"/>
                <w:u w:val="single"/>
              </w:rPr>
            </w:pPr>
            <w:r w:rsidRPr="46D455A2" w:rsidR="008E39B4">
              <w:rPr>
                <w:b w:val="1"/>
                <w:bCs w:val="1"/>
                <w:color w:val="522A5B"/>
                <w:sz w:val="24"/>
                <w:szCs w:val="24"/>
                <w:u w:val="single"/>
              </w:rPr>
              <w:t>Why this? Why now?</w:t>
            </w:r>
          </w:p>
          <w:p w:rsidRPr="00811F13" w:rsidR="008E39B4" w:rsidP="46D455A2" w:rsidRDefault="008E39B4" w14:paraId="61A45D58" w14:textId="38726E3C">
            <w:pPr>
              <w:rPr>
                <w:color w:val="000000" w:themeColor="text1" w:themeTint="FF" w:themeShade="FF"/>
              </w:rPr>
            </w:pPr>
          </w:p>
          <w:p w:rsidRPr="00811F13" w:rsidR="008E39B4" w:rsidP="5FC8CA99" w:rsidRDefault="008E39B4" w14:paraId="4C75361B" w14:textId="25FEDC5C">
            <w:pPr>
              <w:rPr>
                <w:color w:val="000000" w:themeColor="text1"/>
              </w:rPr>
            </w:pPr>
            <w:r w:rsidRPr="46D455A2" w:rsidR="46D455A2">
              <w:rPr>
                <w:color w:val="000000" w:themeColor="text1" w:themeTint="FF" w:themeShade="FF"/>
              </w:rPr>
              <w:t>Year 13 study takes as a starting the point your detailed understanding of Haydn’s Symphony 104 and a range of other works. You will now develop your understanding of fine detail of the work and will build detailed comparisons with other symphonies between 1750 and 1900 which will clearly demonstrate your knowledge of how the symphony evolved.</w:t>
            </w:r>
          </w:p>
        </w:tc>
        <w:tc>
          <w:tcPr>
            <w:tcW w:w="2268" w:type="dxa"/>
            <w:vMerge w:val="restart"/>
            <w:shd w:val="clear" w:color="auto" w:fill="FFEFFF"/>
            <w:tcMar/>
          </w:tcPr>
          <w:p w:rsidRPr="00F9765D" w:rsidR="008E39B4" w:rsidP="002B6733"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8E39B4" w:rsidP="49B79651" w:rsidRDefault="002B25FB" w14:paraId="28E9C847"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Structure, sonata, rounded binary;</w:t>
            </w:r>
          </w:p>
          <w:p w:rsidR="002B25FB" w:rsidP="49B79651" w:rsidRDefault="002B25FB" w14:paraId="1D90E7FD"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Tonality, harmony;</w:t>
            </w:r>
          </w:p>
          <w:p w:rsidR="002B25FB" w:rsidP="49B79651" w:rsidRDefault="002B25FB" w14:paraId="0A11867F"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Texture;</w:t>
            </w:r>
          </w:p>
          <w:p w:rsidR="002B25FB" w:rsidP="49B79651" w:rsidRDefault="002B25FB" w14:paraId="582BE1F9"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Melodic and thematic development;</w:t>
            </w:r>
          </w:p>
          <w:p w:rsidR="002B25FB" w:rsidP="49B79651" w:rsidRDefault="002B25FB" w14:paraId="1F2B3580"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Sonority and timbre;</w:t>
            </w:r>
          </w:p>
          <w:p w:rsidR="002B25FB" w:rsidP="49B79651" w:rsidRDefault="002B25FB" w14:paraId="13145B84"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Harmonic language;</w:t>
            </w:r>
          </w:p>
          <w:p w:rsidR="002B25FB" w:rsidP="49B79651" w:rsidRDefault="002B25FB" w14:paraId="7CAC392E"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Tempo, metre and rhythm;</w:t>
            </w:r>
          </w:p>
          <w:p w:rsidR="002B25FB" w:rsidP="49B79651" w:rsidRDefault="002B25FB" w14:paraId="1F6C5660"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Expressive use of dynamics;</w:t>
            </w:r>
          </w:p>
          <w:p w:rsidR="002B25FB" w:rsidP="49B79651" w:rsidRDefault="002B25FB" w14:paraId="376E99E6"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Extra-musical context;</w:t>
            </w:r>
          </w:p>
          <w:p w:rsidR="002B25FB" w:rsidP="49B79651" w:rsidRDefault="002B25FB" w14:paraId="6D12684D"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Decline of basso continuo;</w:t>
            </w:r>
          </w:p>
          <w:p w:rsidR="002B25FB" w:rsidP="49B79651" w:rsidRDefault="002B25FB" w14:paraId="4FBF25AD"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Development of the orchestra, instruments of the orchestra;</w:t>
            </w:r>
          </w:p>
          <w:p w:rsidR="002B25FB" w:rsidP="49B79651" w:rsidRDefault="002B25FB" w14:paraId="3BF75139"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Programmatic music;</w:t>
            </w:r>
          </w:p>
          <w:p w:rsidR="002B25FB" w:rsidP="49B79651" w:rsidRDefault="002B25FB" w14:paraId="20241DBE"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Audience reception;</w:t>
            </w:r>
          </w:p>
          <w:p w:rsidR="002B25FB" w:rsidP="49B79651" w:rsidRDefault="002B25FB" w14:paraId="18F951AF" w14:textId="7777777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Score reading, conventions of notation;</w:t>
            </w:r>
          </w:p>
          <w:p w:rsidRPr="00811F13" w:rsidR="002B25FB" w:rsidP="49B79651" w:rsidRDefault="002B25FB" w14:paraId="49147324" w14:textId="38E281C7">
            <w:pPr>
              <w:rPr>
                <w:rFonts w:cs="Calibri" w:cstheme="minorAscii"/>
                <w:color w:val="000000" w:themeColor="text1"/>
                <w:sz w:val="22"/>
                <w:szCs w:val="22"/>
              </w:rPr>
            </w:pPr>
            <w:r w:rsidRPr="49B79651" w:rsidR="002B25FB">
              <w:rPr>
                <w:rFonts w:cs="Calibri" w:cstheme="minorAscii"/>
                <w:color w:val="000000" w:themeColor="text1" w:themeTint="FF" w:themeShade="FF"/>
                <w:sz w:val="22"/>
                <w:szCs w:val="22"/>
              </w:rPr>
              <w:t xml:space="preserve">Chords, chromatic chords, </w:t>
            </w:r>
            <w:r w:rsidRPr="49B79651" w:rsidR="00ED13C5">
              <w:rPr>
                <w:rFonts w:cs="Calibri" w:cstheme="minorAscii"/>
                <w:color w:val="000000" w:themeColor="text1" w:themeTint="FF" w:themeShade="FF"/>
                <w:sz w:val="22"/>
                <w:szCs w:val="22"/>
              </w:rPr>
              <w:t>cadences;</w:t>
            </w:r>
          </w:p>
        </w:tc>
      </w:tr>
      <w:tr w:rsidRPr="00F9765D" w:rsidR="008E39B4" w:rsidTr="49B79651" w14:paraId="70713B32" w14:textId="77777777">
        <w:trPr>
          <w:trHeight w:val="3639"/>
        </w:trPr>
        <w:tc>
          <w:tcPr>
            <w:tcW w:w="8070" w:type="dxa"/>
            <w:gridSpan w:val="2"/>
            <w:shd w:val="clear" w:color="auto" w:fill="FFEFFF"/>
            <w:tcMar/>
          </w:tcPr>
          <w:p w:rsidRPr="00F9765D" w:rsidR="008E39B4" w:rsidP="002B6733"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4A45C2" w:rsidP="005A4B4B" w:rsidRDefault="005A4B4B" w14:paraId="10497824" w14:textId="77777777">
            <w:pPr>
              <w:rPr>
                <w:rFonts w:cstheme="minorHAnsi"/>
                <w:color w:val="000000" w:themeColor="text1"/>
              </w:rPr>
            </w:pPr>
            <w:r w:rsidRPr="005A4B4B">
              <w:rPr>
                <w:rFonts w:cstheme="minorHAnsi"/>
                <w:color w:val="000000" w:themeColor="text1"/>
              </w:rPr>
              <w:t xml:space="preserve">Detailed study of </w:t>
            </w:r>
            <w:r w:rsidRPr="004A45C2" w:rsidR="004A45C2">
              <w:rPr>
                <w:rFonts w:cstheme="minorHAnsi"/>
                <w:color w:val="000000" w:themeColor="text1"/>
              </w:rPr>
              <w:t>Haydn’s</w:t>
            </w:r>
            <w:r w:rsidRPr="005A4B4B">
              <w:rPr>
                <w:rFonts w:cstheme="minorHAnsi"/>
                <w:color w:val="000000" w:themeColor="text1"/>
              </w:rPr>
              <w:t xml:space="preserve"> </w:t>
            </w:r>
            <w:r w:rsidRPr="004A45C2" w:rsidR="004A45C2">
              <w:rPr>
                <w:rFonts w:cstheme="minorHAnsi"/>
                <w:color w:val="000000" w:themeColor="text1"/>
              </w:rPr>
              <w:t>S</w:t>
            </w:r>
            <w:r w:rsidRPr="005A4B4B">
              <w:rPr>
                <w:rFonts w:cstheme="minorHAnsi"/>
                <w:color w:val="000000" w:themeColor="text1"/>
              </w:rPr>
              <w:t xml:space="preserve">ymphony </w:t>
            </w:r>
            <w:r w:rsidRPr="004A45C2" w:rsidR="004A45C2">
              <w:rPr>
                <w:rFonts w:cstheme="minorHAnsi"/>
                <w:color w:val="000000" w:themeColor="text1"/>
              </w:rPr>
              <w:t xml:space="preserve">104, </w:t>
            </w:r>
            <w:r w:rsidRPr="005A4B4B">
              <w:rPr>
                <w:rFonts w:cstheme="minorHAnsi"/>
                <w:color w:val="000000" w:themeColor="text1"/>
              </w:rPr>
              <w:t xml:space="preserve">and general study of </w:t>
            </w:r>
            <w:r w:rsidRPr="004A45C2" w:rsidR="004A45C2">
              <w:rPr>
                <w:rFonts w:cstheme="minorHAnsi"/>
                <w:color w:val="000000" w:themeColor="text1"/>
              </w:rPr>
              <w:t>a series of other works – including Mendelssohn’s Italian Symphony. We will learn how the symphony evolved, who the key composers of the genre were, and how the music would have been heard by contemporary audiences.</w:t>
            </w:r>
          </w:p>
          <w:p w:rsidR="005A4B4B" w:rsidP="005A4B4B" w:rsidRDefault="004C3EB8" w14:paraId="4A3B35DF" w14:textId="360EFA60">
            <w:pPr>
              <w:rPr>
                <w:rFonts w:cstheme="minorHAnsi"/>
                <w:color w:val="000000" w:themeColor="text1"/>
              </w:rPr>
            </w:pPr>
            <w:r>
              <w:rPr>
                <w:rFonts w:cstheme="minorHAnsi"/>
                <w:color w:val="000000" w:themeColor="text1"/>
              </w:rPr>
              <w:t>You</w:t>
            </w:r>
            <w:r w:rsidR="004A45C2">
              <w:rPr>
                <w:rFonts w:cstheme="minorHAnsi"/>
                <w:color w:val="000000" w:themeColor="text1"/>
              </w:rPr>
              <w:t xml:space="preserve"> will learn how symphonic movements are str</w:t>
            </w:r>
            <w:r w:rsidR="00CE71B5">
              <w:rPr>
                <w:rFonts w:cstheme="minorHAnsi"/>
                <w:color w:val="000000" w:themeColor="text1"/>
              </w:rPr>
              <w:t>uctured, using primarily sonata and rounded binary forms; how instrumentation and instrumental techniques evolved over time, and how harmonic and textural techniques grew through the late 18</w:t>
            </w:r>
            <w:r w:rsidRPr="00CE71B5" w:rsidR="00CE71B5">
              <w:rPr>
                <w:rFonts w:cstheme="minorHAnsi"/>
                <w:color w:val="000000" w:themeColor="text1"/>
                <w:vertAlign w:val="superscript"/>
              </w:rPr>
              <w:t>th</w:t>
            </w:r>
            <w:r w:rsidR="00CE71B5">
              <w:rPr>
                <w:rFonts w:cstheme="minorHAnsi"/>
                <w:color w:val="000000" w:themeColor="text1"/>
              </w:rPr>
              <w:t xml:space="preserve"> and 19</w:t>
            </w:r>
            <w:r w:rsidRPr="00CE71B5" w:rsidR="00CE71B5">
              <w:rPr>
                <w:rFonts w:cstheme="minorHAnsi"/>
                <w:color w:val="000000" w:themeColor="text1"/>
                <w:vertAlign w:val="superscript"/>
              </w:rPr>
              <w:t>th</w:t>
            </w:r>
            <w:r w:rsidR="00CE71B5">
              <w:rPr>
                <w:rFonts w:cstheme="minorHAnsi"/>
                <w:color w:val="000000" w:themeColor="text1"/>
              </w:rPr>
              <w:t xml:space="preserve"> Centuries. </w:t>
            </w:r>
          </w:p>
          <w:p w:rsidR="008E39B4" w:rsidP="002B6733" w:rsidRDefault="004C3EB8" w14:paraId="1CA95C21" w14:textId="11AAA6AE">
            <w:pPr>
              <w:rPr>
                <w:rFonts w:cstheme="minorHAnsi"/>
                <w:color w:val="000000" w:themeColor="text1"/>
              </w:rPr>
            </w:pPr>
            <w:r>
              <w:rPr>
                <w:rFonts w:cstheme="minorHAnsi"/>
                <w:color w:val="000000" w:themeColor="text1"/>
              </w:rPr>
              <w:t>You will learn how to identify musical features by ear and to transcribe them appropriately.</w:t>
            </w:r>
          </w:p>
          <w:p w:rsidRPr="004C3EB8" w:rsidR="004C3EB8" w:rsidP="002B6733" w:rsidRDefault="004C3EB8" w14:paraId="704CD9BE" w14:textId="2F846767">
            <w:pPr>
              <w:rPr>
                <w:rFonts w:cstheme="minorHAnsi"/>
                <w:color w:val="000000" w:themeColor="text1"/>
              </w:rPr>
            </w:pPr>
            <w:r>
              <w:rPr>
                <w:rFonts w:cstheme="minorHAnsi"/>
                <w:color w:val="000000" w:themeColor="text1"/>
              </w:rPr>
              <w:t>You will learn how to write about music in clear, analytical language.</w:t>
            </w:r>
          </w:p>
        </w:tc>
        <w:tc>
          <w:tcPr>
            <w:tcW w:w="2268" w:type="dxa"/>
            <w:vMerge/>
            <w:tcMar/>
          </w:tcPr>
          <w:p w:rsidRPr="00F9765D" w:rsidR="008E39B4" w:rsidP="002B6733" w:rsidRDefault="008E39B4" w14:paraId="4F4A4CCD" w14:textId="77777777">
            <w:pPr>
              <w:rPr>
                <w:rFonts w:cstheme="minorHAnsi"/>
                <w:b/>
                <w:bCs/>
                <w:sz w:val="24"/>
                <w:szCs w:val="24"/>
                <w:u w:val="single"/>
              </w:rPr>
            </w:pPr>
          </w:p>
        </w:tc>
      </w:tr>
      <w:tr w:rsidRPr="00F9765D" w:rsidR="008E39B4" w:rsidTr="49B79651" w14:paraId="41DD1A54" w14:textId="77777777">
        <w:trPr>
          <w:trHeight w:val="4774"/>
        </w:trPr>
        <w:tc>
          <w:tcPr>
            <w:tcW w:w="8070" w:type="dxa"/>
            <w:gridSpan w:val="2"/>
            <w:shd w:val="clear" w:color="auto" w:fill="FFEFFF"/>
            <w:tcMar/>
          </w:tcPr>
          <w:p w:rsidRPr="00F9765D" w:rsidR="008E39B4" w:rsidP="002B6733"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rsidRPr="00CE71B5" w:rsidR="008E39B4" w:rsidP="002B6733" w:rsidRDefault="00CE71B5" w14:paraId="6A1C98B2" w14:textId="06E1A82E">
            <w:pPr>
              <w:rPr>
                <w:rFonts w:cstheme="minorHAnsi"/>
                <w:color w:val="000000" w:themeColor="text1"/>
              </w:rPr>
            </w:pPr>
            <w:r w:rsidRPr="00CE71B5">
              <w:rPr>
                <w:rFonts w:cstheme="minorHAnsi"/>
                <w:color w:val="000000" w:themeColor="text1"/>
              </w:rPr>
              <w:t xml:space="preserve">As well as listening and discussing a wide range of pieces in class </w:t>
            </w:r>
            <w:r w:rsidR="004C3EB8">
              <w:rPr>
                <w:rFonts w:cstheme="minorHAnsi"/>
                <w:color w:val="000000" w:themeColor="text1"/>
              </w:rPr>
              <w:t>you</w:t>
            </w:r>
            <w:r w:rsidRPr="00CE71B5">
              <w:rPr>
                <w:rFonts w:cstheme="minorHAnsi"/>
                <w:color w:val="000000" w:themeColor="text1"/>
              </w:rPr>
              <w:t xml:space="preserve"> will also attend a wide range of orchestral repertoire by attending concerts (London Southbank Centre, Poole Lighthouse, Basingstoke Anvil etc). </w:t>
            </w:r>
          </w:p>
          <w:p w:rsidRPr="00CE71B5" w:rsidR="00CE71B5" w:rsidP="002B6733" w:rsidRDefault="00CE71B5" w14:paraId="7E3C9139" w14:textId="77777777">
            <w:pPr>
              <w:rPr>
                <w:rFonts w:cstheme="minorHAnsi"/>
                <w:color w:val="000000" w:themeColor="text1"/>
              </w:rPr>
            </w:pPr>
            <w:r w:rsidRPr="00CE71B5">
              <w:rPr>
                <w:rFonts w:cstheme="minorHAnsi"/>
                <w:color w:val="000000" w:themeColor="text1"/>
              </w:rPr>
              <w:t>All set works will be supported by study videos on YouTube, and you will be given study scores for independent study.</w:t>
            </w:r>
          </w:p>
          <w:p w:rsidRPr="00811F13" w:rsidR="00CE71B5" w:rsidP="002B6733" w:rsidRDefault="00CE71B5" w14:paraId="001E2D6F" w14:textId="644D1ACA">
            <w:pPr>
              <w:rPr>
                <w:rFonts w:cstheme="minorHAnsi"/>
                <w:color w:val="000000" w:themeColor="text1"/>
                <w:sz w:val="20"/>
                <w:szCs w:val="20"/>
              </w:rPr>
            </w:pPr>
            <w:r w:rsidRPr="00CE71B5">
              <w:rPr>
                <w:rFonts w:cstheme="minorHAnsi"/>
                <w:color w:val="000000" w:themeColor="text1"/>
              </w:rPr>
              <w:t>You will be expected to listen to music – which may be unfamiliar to you – on a regular basis, by listening to recordings, Spotify playlists etc. outside the classroom.</w:t>
            </w:r>
          </w:p>
        </w:tc>
        <w:tc>
          <w:tcPr>
            <w:tcW w:w="2268" w:type="dxa"/>
            <w:vMerge/>
            <w:tcMar/>
          </w:tcPr>
          <w:p w:rsidRPr="00F9765D" w:rsidR="008E39B4" w:rsidP="002B6733" w:rsidRDefault="008E39B4" w14:paraId="20C1B22D" w14:textId="77777777">
            <w:pPr>
              <w:rPr>
                <w:rFonts w:cstheme="minorHAnsi"/>
                <w:b/>
                <w:bCs/>
                <w:sz w:val="24"/>
                <w:szCs w:val="24"/>
                <w:u w:val="single"/>
              </w:rPr>
            </w:pPr>
          </w:p>
        </w:tc>
      </w:tr>
      <w:tr w:rsidRPr="00F9765D" w:rsidR="008E39B4" w:rsidTr="49B79651" w14:paraId="08B85AF4" w14:textId="77777777">
        <w:trPr>
          <w:trHeight w:val="558"/>
        </w:trPr>
        <w:tc>
          <w:tcPr>
            <w:tcW w:w="8070" w:type="dxa"/>
            <w:gridSpan w:val="2"/>
            <w:shd w:val="clear" w:color="auto" w:fill="FFEFFF"/>
            <w:tcMar/>
          </w:tcPr>
          <w:p w:rsidRPr="00E5371A" w:rsidR="008E39B4" w:rsidP="002B6733"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Pr="00811F13" w:rsidR="008E39B4" w:rsidP="004C3EB8" w:rsidRDefault="004C3EB8" w14:paraId="641C685F" w14:textId="626DFEAE">
            <w:r w:rsidR="004C3EB8">
              <w:rPr/>
              <w:t xml:space="preserve">There will be a written examination at the end of the </w:t>
            </w:r>
            <w:r w:rsidR="004C3EB8">
              <w:rPr/>
              <w:t>course that</w:t>
            </w:r>
            <w:r w:rsidR="004C3EB8">
              <w:rPr/>
              <w:t xml:space="preserve"> will assess your listening skills, your familiarity with musical devices used in the repertoire, your specific knowledge of Haydn’s Symphony 104, and the important developments in symphonic writing.</w:t>
            </w:r>
          </w:p>
          <w:p w:rsidRPr="00811F13" w:rsidR="00811F13" w:rsidP="002B6733" w:rsidRDefault="00811F13" w14:paraId="5AA3A0AB" w14:textId="77777777">
            <w:pPr>
              <w:rPr>
                <w:rFonts w:cstheme="minorHAnsi"/>
                <w:b/>
                <w:bCs/>
                <w:color w:val="000000" w:themeColor="text1"/>
                <w:sz w:val="20"/>
                <w:szCs w:val="20"/>
                <w:u w:val="single"/>
              </w:rPr>
            </w:pPr>
          </w:p>
          <w:p w:rsidRPr="00811F13" w:rsidR="00811F13" w:rsidP="002B6733" w:rsidRDefault="00811F13" w14:paraId="7C953E82" w14:textId="48EA00C6">
            <w:pPr>
              <w:rPr>
                <w:rFonts w:cstheme="minorHAnsi"/>
                <w:b/>
                <w:bCs/>
                <w:sz w:val="20"/>
                <w:szCs w:val="20"/>
                <w:u w:val="single"/>
              </w:rPr>
            </w:pPr>
          </w:p>
        </w:tc>
        <w:tc>
          <w:tcPr>
            <w:tcW w:w="2268" w:type="dxa"/>
            <w:vMerge/>
            <w:tcMar/>
          </w:tcPr>
          <w:p w:rsidRPr="00F9765D" w:rsidR="008E39B4" w:rsidP="002B6733" w:rsidRDefault="008E39B4" w14:paraId="048BF811" w14:textId="77777777">
            <w:pPr>
              <w:rPr>
                <w:rFonts w:cstheme="minorHAnsi"/>
                <w:b/>
                <w:bCs/>
                <w:sz w:val="24"/>
                <w:szCs w:val="24"/>
                <w:u w:val="single"/>
              </w:rPr>
            </w:pPr>
          </w:p>
        </w:tc>
      </w:tr>
    </w:tbl>
    <w:p w:rsidR="0053445E" w:rsidP="008E39B4" w:rsidRDefault="007E3CE1" w14:paraId="42B3A29B" w14:textId="49864984"/>
    <w:sectPr w:rsidR="0053445E" w:rsidSect="00A23F48">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F6" w:rsidP="00017B74" w:rsidRDefault="003C76F6" w14:paraId="13A74404" w14:textId="77777777">
      <w:pPr>
        <w:spacing w:after="0" w:line="240" w:lineRule="auto"/>
      </w:pPr>
      <w:r>
        <w:separator/>
      </w:r>
    </w:p>
  </w:endnote>
  <w:endnote w:type="continuationSeparator" w:id="0">
    <w:p w:rsidR="003C76F6" w:rsidP="00017B74" w:rsidRDefault="003C76F6" w14:paraId="0F3483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F6" w:rsidP="00017B74" w:rsidRDefault="003C76F6" w14:paraId="034D73D3" w14:textId="77777777">
      <w:pPr>
        <w:spacing w:after="0" w:line="240" w:lineRule="auto"/>
      </w:pPr>
      <w:r>
        <w:separator/>
      </w:r>
    </w:p>
  </w:footnote>
  <w:footnote w:type="continuationSeparator" w:id="0">
    <w:p w:rsidR="003C76F6" w:rsidP="00017B74" w:rsidRDefault="003C76F6" w14:paraId="1E16FA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7415F"/>
    <w:rsid w:val="002B25FB"/>
    <w:rsid w:val="002B6733"/>
    <w:rsid w:val="003C76F6"/>
    <w:rsid w:val="003E040F"/>
    <w:rsid w:val="003E6B6F"/>
    <w:rsid w:val="00440E6C"/>
    <w:rsid w:val="00487E07"/>
    <w:rsid w:val="004A45C2"/>
    <w:rsid w:val="004C3EB8"/>
    <w:rsid w:val="005A4B4B"/>
    <w:rsid w:val="005F4E99"/>
    <w:rsid w:val="006A3C2A"/>
    <w:rsid w:val="007146EF"/>
    <w:rsid w:val="007E3CE1"/>
    <w:rsid w:val="00811F13"/>
    <w:rsid w:val="00847F4E"/>
    <w:rsid w:val="00867D25"/>
    <w:rsid w:val="008B1952"/>
    <w:rsid w:val="008E39B4"/>
    <w:rsid w:val="00996034"/>
    <w:rsid w:val="00A23F48"/>
    <w:rsid w:val="00A314F1"/>
    <w:rsid w:val="00BA646E"/>
    <w:rsid w:val="00CA59AB"/>
    <w:rsid w:val="00CE71B5"/>
    <w:rsid w:val="00DB0006"/>
    <w:rsid w:val="00DC23A5"/>
    <w:rsid w:val="00E5371A"/>
    <w:rsid w:val="00ED13C5"/>
    <w:rsid w:val="00F43D58"/>
    <w:rsid w:val="00F9765D"/>
    <w:rsid w:val="00FB7D5A"/>
    <w:rsid w:val="00FE1C68"/>
    <w:rsid w:val="025254C8"/>
    <w:rsid w:val="04B6846C"/>
    <w:rsid w:val="0E88CA62"/>
    <w:rsid w:val="12706618"/>
    <w:rsid w:val="140C3679"/>
    <w:rsid w:val="14249AC8"/>
    <w:rsid w:val="1BFE2001"/>
    <w:rsid w:val="23278694"/>
    <w:rsid w:val="23CC935F"/>
    <w:rsid w:val="46D455A2"/>
    <w:rsid w:val="49B79651"/>
    <w:rsid w:val="4C367A00"/>
    <w:rsid w:val="4F6E1AC2"/>
    <w:rsid w:val="4F6E1AC2"/>
    <w:rsid w:val="5FC8CA99"/>
    <w:rsid w:val="74A0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MediaLengthInSeconds xmlns="231fda97-f46f-4a86-bd9b-809e86dd0d65" xsi:nil="true"/>
    <SharedWithUsers xmlns="069cf267-c0bd-49c7-8dea-4928a3e49080">
      <UserInfo>
        <DisplayName/>
        <AccountId xsi:nil="true"/>
        <AccountType/>
      </UserInfo>
    </SharedWithUser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794E2B5F-2275-4275-AC2C-B87A9C83BA89}"/>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4</revision>
  <dcterms:created xsi:type="dcterms:W3CDTF">2022-06-06T11:16:00.0000000Z</dcterms:created>
  <dcterms:modified xsi:type="dcterms:W3CDTF">2022-06-27T12:57:19.1478309Z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